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FF" w:rsidRDefault="000410FF"/>
    <w:p w:rsidR="002B7F23" w:rsidRDefault="002B7F23" w:rsidP="002B7F23">
      <w:pPr>
        <w:pStyle w:val="1"/>
        <w:ind w:firstLineChars="100" w:firstLine="440"/>
        <w:rPr>
          <w:rFonts w:ascii="微软雅黑" w:eastAsia="微软雅黑" w:hAnsi="微软雅黑" w:hint="eastAsia"/>
          <w:color w:val="333333"/>
          <w:sz w:val="44"/>
          <w:szCs w:val="44"/>
        </w:rPr>
      </w:pPr>
      <w:r w:rsidRPr="002B7F23">
        <w:rPr>
          <w:rFonts w:ascii="微软雅黑" w:eastAsia="微软雅黑" w:hAnsi="微软雅黑" w:hint="eastAsia"/>
          <w:color w:val="333333"/>
          <w:sz w:val="44"/>
          <w:szCs w:val="44"/>
        </w:rPr>
        <w:t>国家税务总局湖北省税务局关于办理</w:t>
      </w:r>
    </w:p>
    <w:p w:rsidR="002B7F23" w:rsidRPr="002B7F23" w:rsidRDefault="002B7F23" w:rsidP="002B7F23">
      <w:pPr>
        <w:pStyle w:val="1"/>
        <w:rPr>
          <w:rFonts w:ascii="微软雅黑" w:eastAsia="微软雅黑" w:hAnsi="微软雅黑"/>
          <w:color w:val="333333"/>
          <w:sz w:val="44"/>
          <w:szCs w:val="44"/>
        </w:rPr>
      </w:pPr>
      <w:r w:rsidRPr="002B7F23">
        <w:rPr>
          <w:rFonts w:ascii="微软雅黑" w:eastAsia="微软雅黑" w:hAnsi="微软雅黑" w:hint="eastAsia"/>
          <w:color w:val="333333"/>
          <w:sz w:val="44"/>
          <w:szCs w:val="44"/>
        </w:rPr>
        <w:t>2020年度个人所得</w:t>
      </w:r>
      <w:proofErr w:type="gramStart"/>
      <w:r w:rsidRPr="002B7F23">
        <w:rPr>
          <w:rFonts w:ascii="微软雅黑" w:eastAsia="微软雅黑" w:hAnsi="微软雅黑" w:hint="eastAsia"/>
          <w:color w:val="333333"/>
          <w:sz w:val="44"/>
          <w:szCs w:val="44"/>
        </w:rPr>
        <w:t>税综合</w:t>
      </w:r>
      <w:proofErr w:type="gramEnd"/>
      <w:r w:rsidRPr="002B7F23">
        <w:rPr>
          <w:rFonts w:ascii="微软雅黑" w:eastAsia="微软雅黑" w:hAnsi="微软雅黑" w:hint="eastAsia"/>
          <w:color w:val="333333"/>
          <w:sz w:val="44"/>
          <w:szCs w:val="44"/>
        </w:rPr>
        <w:t>所得汇算清缴邮寄申报的通告</w:t>
      </w:r>
    </w:p>
    <w:p w:rsidR="002B7F23" w:rsidRPr="002B7F23" w:rsidRDefault="002B7F23" w:rsidP="002B7F23">
      <w:pPr>
        <w:spacing w:before="100" w:beforeAutospacing="1" w:after="100" w:line="300" w:lineRule="atLeast"/>
        <w:jc w:val="left"/>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尊敬的个人所得税纳税人:</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根据《国家税务总局关于办理2020年度个人所得税综合所得汇算清缴事项的公告》(国家税务总局公告2021年第2号)，现将我省2020年度个人所得</w:t>
      </w:r>
      <w:proofErr w:type="gramStart"/>
      <w:r w:rsidRPr="002B7F23">
        <w:rPr>
          <w:rFonts w:ascii="微软雅黑" w:eastAsia="微软雅黑" w:hAnsi="微软雅黑" w:hint="eastAsia"/>
          <w:color w:val="333333"/>
          <w:sz w:val="18"/>
          <w:szCs w:val="18"/>
        </w:rPr>
        <w:t>税综合</w:t>
      </w:r>
      <w:proofErr w:type="gramEnd"/>
      <w:r w:rsidRPr="002B7F23">
        <w:rPr>
          <w:rFonts w:ascii="微软雅黑" w:eastAsia="微软雅黑" w:hAnsi="微软雅黑" w:hint="eastAsia"/>
          <w:color w:val="333333"/>
          <w:sz w:val="18"/>
          <w:szCs w:val="18"/>
        </w:rPr>
        <w:t>所得汇算清缴邮寄申报有关事宜通告如下：</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Style w:val="a7"/>
          <w:rFonts w:ascii="微软雅黑" w:eastAsia="微软雅黑" w:hAnsi="微软雅黑" w:hint="eastAsia"/>
          <w:color w:val="333333"/>
          <w:sz w:val="18"/>
          <w:szCs w:val="18"/>
        </w:rPr>
        <w:t>一、邮寄申报的适用范围</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任职受雇单位所在地（无任职受雇单位的，为户籍所在地、经常居住地或主要收入来源地）在湖北省范围内，且根据国家税务总局公告2020年第2号第三条规定的需要办理年度汇算的纳税人，不</w:t>
      </w:r>
      <w:proofErr w:type="gramStart"/>
      <w:r w:rsidRPr="002B7F23">
        <w:rPr>
          <w:rFonts w:ascii="微软雅黑" w:eastAsia="微软雅黑" w:hAnsi="微软雅黑" w:hint="eastAsia"/>
          <w:color w:val="333333"/>
          <w:sz w:val="18"/>
          <w:szCs w:val="18"/>
        </w:rPr>
        <w:t>方便通过</w:t>
      </w:r>
      <w:proofErr w:type="gramEnd"/>
      <w:r w:rsidRPr="002B7F23">
        <w:rPr>
          <w:rFonts w:ascii="微软雅黑" w:eastAsia="微软雅黑" w:hAnsi="微软雅黑" w:hint="eastAsia"/>
          <w:color w:val="333333"/>
          <w:sz w:val="18"/>
          <w:szCs w:val="18"/>
        </w:rPr>
        <w:t>网上税务局办理（包括手机个人所得税APP，下同）或办税服务</w:t>
      </w:r>
      <w:proofErr w:type="gramStart"/>
      <w:r w:rsidRPr="002B7F23">
        <w:rPr>
          <w:rFonts w:ascii="微软雅黑" w:eastAsia="微软雅黑" w:hAnsi="微软雅黑" w:hint="eastAsia"/>
          <w:color w:val="333333"/>
          <w:sz w:val="18"/>
          <w:szCs w:val="18"/>
        </w:rPr>
        <w:t>厅办理</w:t>
      </w:r>
      <w:proofErr w:type="gramEnd"/>
      <w:r w:rsidRPr="002B7F23">
        <w:rPr>
          <w:rFonts w:ascii="微软雅黑" w:eastAsia="微软雅黑" w:hAnsi="微软雅黑" w:hint="eastAsia"/>
          <w:color w:val="333333"/>
          <w:sz w:val="18"/>
          <w:szCs w:val="18"/>
        </w:rPr>
        <w:t>的，可以通过邮寄申报方式办理个人所得</w:t>
      </w:r>
      <w:proofErr w:type="gramStart"/>
      <w:r w:rsidRPr="002B7F23">
        <w:rPr>
          <w:rFonts w:ascii="微软雅黑" w:eastAsia="微软雅黑" w:hAnsi="微软雅黑" w:hint="eastAsia"/>
          <w:color w:val="333333"/>
          <w:sz w:val="18"/>
          <w:szCs w:val="18"/>
        </w:rPr>
        <w:t>税综合</w:t>
      </w:r>
      <w:proofErr w:type="gramEnd"/>
      <w:r w:rsidRPr="002B7F23">
        <w:rPr>
          <w:rFonts w:ascii="微软雅黑" w:eastAsia="微软雅黑" w:hAnsi="微软雅黑" w:hint="eastAsia"/>
          <w:color w:val="333333"/>
          <w:sz w:val="18"/>
          <w:szCs w:val="18"/>
        </w:rPr>
        <w:t>所得年度申报。</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Style w:val="a7"/>
          <w:rFonts w:ascii="微软雅黑" w:eastAsia="微软雅黑" w:hAnsi="微软雅黑" w:hint="eastAsia"/>
          <w:color w:val="333333"/>
          <w:sz w:val="18"/>
          <w:szCs w:val="18"/>
        </w:rPr>
        <w:t>二、邮寄申报的接收税务机关</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国家税务总局湖北省税务局指定国家税务总局武汉市东湖生态旅游风景区税务局为我省2020年度个人所得税汇算清缴邮寄申报唯一定点接收单位，集中受理我省2020年度个人所得</w:t>
      </w:r>
      <w:proofErr w:type="gramStart"/>
      <w:r w:rsidRPr="002B7F23">
        <w:rPr>
          <w:rFonts w:ascii="微软雅黑" w:eastAsia="微软雅黑" w:hAnsi="微软雅黑" w:hint="eastAsia"/>
          <w:color w:val="333333"/>
          <w:sz w:val="18"/>
          <w:szCs w:val="18"/>
        </w:rPr>
        <w:t>税综合</w:t>
      </w:r>
      <w:proofErr w:type="gramEnd"/>
      <w:r w:rsidRPr="002B7F23">
        <w:rPr>
          <w:rFonts w:ascii="微软雅黑" w:eastAsia="微软雅黑" w:hAnsi="微软雅黑" w:hint="eastAsia"/>
          <w:color w:val="333333"/>
          <w:sz w:val="18"/>
          <w:szCs w:val="18"/>
        </w:rPr>
        <w:t>所得汇算清缴邮寄申报业务。具体邮寄方式如下：</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收件人：国家税务总局武汉市东湖生态旅游风景区税务局第一税务所（个税邮寄申报）</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地址：武汉市洪山区</w:t>
      </w:r>
      <w:proofErr w:type="gramStart"/>
      <w:r w:rsidRPr="002B7F23">
        <w:rPr>
          <w:rFonts w:ascii="微软雅黑" w:eastAsia="微软雅黑" w:hAnsi="微软雅黑" w:hint="eastAsia"/>
          <w:color w:val="333333"/>
          <w:sz w:val="18"/>
          <w:szCs w:val="18"/>
        </w:rPr>
        <w:t>珞喻路</w:t>
      </w:r>
      <w:proofErr w:type="gramEnd"/>
      <w:r w:rsidRPr="002B7F23">
        <w:rPr>
          <w:rFonts w:ascii="微软雅黑" w:eastAsia="微软雅黑" w:hAnsi="微软雅黑" w:hint="eastAsia"/>
          <w:color w:val="333333"/>
          <w:sz w:val="18"/>
          <w:szCs w:val="18"/>
        </w:rPr>
        <w:t>192号</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邮政编码：430079     </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联系电话：027-87661697  </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Style w:val="a7"/>
          <w:rFonts w:ascii="微软雅黑" w:eastAsia="微软雅黑" w:hAnsi="微软雅黑" w:hint="eastAsia"/>
          <w:color w:val="333333"/>
          <w:sz w:val="18"/>
          <w:szCs w:val="18"/>
        </w:rPr>
        <w:t>三、邮寄申报的报送资料</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纳税人选择邮寄申报方式办理年度汇算的，应报送纳税申报表（一式两份）：</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（一）纳税人仅取得境内综合所得的，应根据规定填报《个人所得税年度自行纳税申报表（A表）》或《个人所得税年度自行纳税申报表（简易版）》或《个人所得税年度自行纳税申报表（问答版）》。</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lastRenderedPageBreak/>
        <w:t>纳税人取得境外综合所得的，应填报《个人所得税年度自行纳税申报表（B表）》及《境外所得个人所得税抵免明细表》。</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（二）纳税人选择在汇算清缴申报时享受专项附加扣除的，需附报《个人所得税专项附加扣除信息表》。</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（三）纳税人有按规定在税前扣除的商业健康保险的，需附报《商业健康保险税前扣除情况明细表》。</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（四）纳税人有按规定在税前扣除的税收</w:t>
      </w:r>
      <w:proofErr w:type="gramStart"/>
      <w:r w:rsidRPr="002B7F23">
        <w:rPr>
          <w:rFonts w:ascii="微软雅黑" w:eastAsia="微软雅黑" w:hAnsi="微软雅黑" w:hint="eastAsia"/>
          <w:color w:val="333333"/>
          <w:sz w:val="18"/>
          <w:szCs w:val="18"/>
        </w:rPr>
        <w:t>递延型商业</w:t>
      </w:r>
      <w:proofErr w:type="gramEnd"/>
      <w:r w:rsidRPr="002B7F23">
        <w:rPr>
          <w:rFonts w:ascii="微软雅黑" w:eastAsia="微软雅黑" w:hAnsi="微软雅黑" w:hint="eastAsia"/>
          <w:color w:val="333333"/>
          <w:sz w:val="18"/>
          <w:szCs w:val="18"/>
        </w:rPr>
        <w:t>养老保险的，需附报《个人税收递延型商业养老保险税前扣除情况明细表》。</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（五）纳税人有按规定在税前扣除的公益慈善事业的捐赠的，需附报《个人所得税公益慈善事业捐赠扣除明细表》。</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（六）纳税人有减免税事项的，需附报《个人所得税减免税事项报告表》。</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（七）纳税人重要基础信息发生变化的，需要报送《个人所得税基础信息表（B表）》。</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纳税人可通过下列方式获取相关申报表单：</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（一）国家税务总局湖北省税务局门户网站资料下载栏目下载。</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（二）就近办税服务厅领取。</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Style w:val="a7"/>
          <w:rFonts w:ascii="微软雅黑" w:eastAsia="微软雅黑" w:hAnsi="微软雅黑" w:hint="eastAsia"/>
          <w:color w:val="333333"/>
          <w:sz w:val="18"/>
          <w:szCs w:val="18"/>
        </w:rPr>
        <w:t>四、申报时间</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需要通过邮寄申报方式办理2020年度个人所得</w:t>
      </w:r>
      <w:proofErr w:type="gramStart"/>
      <w:r w:rsidRPr="002B7F23">
        <w:rPr>
          <w:rFonts w:ascii="微软雅黑" w:eastAsia="微软雅黑" w:hAnsi="微软雅黑" w:hint="eastAsia"/>
          <w:color w:val="333333"/>
          <w:sz w:val="18"/>
          <w:szCs w:val="18"/>
        </w:rPr>
        <w:t>税综合</w:t>
      </w:r>
      <w:proofErr w:type="gramEnd"/>
      <w:r w:rsidRPr="002B7F23">
        <w:rPr>
          <w:rFonts w:ascii="微软雅黑" w:eastAsia="微软雅黑" w:hAnsi="微软雅黑" w:hint="eastAsia"/>
          <w:color w:val="333333"/>
          <w:sz w:val="18"/>
          <w:szCs w:val="18"/>
        </w:rPr>
        <w:t>所得汇算的纳税人，请在2021年6月30日前将申报资料以国内特快专递方式邮寄给指定的受理邮寄申报的税务机关。邮寄申报日期以邮政部门收寄邮戳日期为准。</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Style w:val="a7"/>
          <w:rFonts w:ascii="微软雅黑" w:eastAsia="微软雅黑" w:hAnsi="微软雅黑" w:hint="eastAsia"/>
          <w:color w:val="333333"/>
          <w:sz w:val="18"/>
          <w:szCs w:val="18"/>
        </w:rPr>
        <w:t>五、年度汇算的退税、补税</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邮寄申报需退税的，纳税人可直接在申报表中准确填报本人符合条件的银行账户；邮寄申报需补税的，纳税人可通过网上税务局或者主管税务机关办税服务厅及时关注申报进度并缴纳税款。</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Style w:val="a7"/>
          <w:rFonts w:ascii="微软雅黑" w:eastAsia="微软雅黑" w:hAnsi="微软雅黑" w:hint="eastAsia"/>
          <w:color w:val="333333"/>
          <w:sz w:val="18"/>
          <w:szCs w:val="18"/>
        </w:rPr>
        <w:t>六、注意事项</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（一）为便利纳税人办理年度汇算，税务机关为纳税人提供了高效、快捷的网络办税渠道。纳税人可优先通过网上税务局办理年度汇算，税务机关将按规定为纳税人提供</w:t>
      </w:r>
      <w:proofErr w:type="gramStart"/>
      <w:r w:rsidRPr="002B7F23">
        <w:rPr>
          <w:rFonts w:ascii="微软雅黑" w:eastAsia="微软雅黑" w:hAnsi="微软雅黑" w:hint="eastAsia"/>
          <w:color w:val="333333"/>
          <w:sz w:val="18"/>
          <w:szCs w:val="18"/>
        </w:rPr>
        <w:t>申报表预填</w:t>
      </w:r>
      <w:proofErr w:type="gramEnd"/>
      <w:r w:rsidRPr="002B7F23">
        <w:rPr>
          <w:rFonts w:ascii="微软雅黑" w:eastAsia="微软雅黑" w:hAnsi="微软雅黑" w:hint="eastAsia"/>
          <w:color w:val="333333"/>
          <w:sz w:val="18"/>
          <w:szCs w:val="18"/>
        </w:rPr>
        <w:t>、涉税问题咨询等服务，帮助纳税人解决办理年度汇算中的疑难问题，积极回应纳税人诉求。</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二）填报信息时，纳税人需认真阅读填表说明，仔细填写及核对，确保真实、准确、完整。申报表资料不全，申报表填写不清晰、不完整或者逻辑错误的，税务机关将不予受理并通知纳税人。为提高辨识度，寄送的申报表，建议使用电脑填报并打印、签字。</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（三）纳税人需在申报表上准确填写中国境内有效联系手机号码、能够接收信件的有效通讯地址等</w:t>
      </w:r>
      <w:r w:rsidRPr="002B7F23">
        <w:rPr>
          <w:rFonts w:ascii="微软雅黑" w:eastAsia="微软雅黑" w:hAnsi="微软雅黑" w:hint="eastAsia"/>
          <w:color w:val="333333"/>
          <w:sz w:val="18"/>
          <w:szCs w:val="18"/>
        </w:rPr>
        <w:lastRenderedPageBreak/>
        <w:t>关键信息，以便税务机关能够准确寄送申报受理回执，沟通纳税申报事宜。</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纳税人如有疑问，请拨打12366纳税咨询服务热线。税务机关将竭诚为您服务，感谢您的理解、支持和配合。</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特此通告。</w:t>
      </w:r>
    </w:p>
    <w:p w:rsidR="002B7F23" w:rsidRPr="002B7F23" w:rsidRDefault="002B7F23" w:rsidP="002B7F23">
      <w:pPr>
        <w:spacing w:before="100" w:beforeAutospacing="1" w:after="100" w:line="300" w:lineRule="atLeast"/>
        <w:ind w:firstLine="480"/>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 </w:t>
      </w:r>
    </w:p>
    <w:p w:rsidR="002B7F23" w:rsidRPr="002B7F23" w:rsidRDefault="002B7F23" w:rsidP="002B7F23">
      <w:pPr>
        <w:spacing w:before="100" w:beforeAutospacing="1" w:after="100" w:line="300" w:lineRule="atLeast"/>
        <w:ind w:firstLine="480"/>
        <w:jc w:val="right"/>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国家税务总局湖北省税务局</w:t>
      </w:r>
    </w:p>
    <w:p w:rsidR="002B7F23" w:rsidRPr="002B7F23" w:rsidRDefault="002B7F23" w:rsidP="002B7F23">
      <w:pPr>
        <w:spacing w:before="100" w:beforeAutospacing="1" w:after="100" w:line="300" w:lineRule="atLeast"/>
        <w:ind w:firstLine="480"/>
        <w:jc w:val="right"/>
        <w:rPr>
          <w:rFonts w:ascii="微软雅黑" w:eastAsia="微软雅黑" w:hAnsi="微软雅黑" w:hint="eastAsia"/>
          <w:color w:val="333333"/>
          <w:sz w:val="18"/>
          <w:szCs w:val="18"/>
        </w:rPr>
      </w:pPr>
      <w:r w:rsidRPr="002B7F23">
        <w:rPr>
          <w:rFonts w:ascii="微软雅黑" w:eastAsia="微软雅黑" w:hAnsi="微软雅黑" w:hint="eastAsia"/>
          <w:color w:val="333333"/>
          <w:sz w:val="18"/>
          <w:szCs w:val="18"/>
        </w:rPr>
        <w:t>                              2021年2月26日</w:t>
      </w:r>
    </w:p>
    <w:p w:rsidR="00F45533" w:rsidRPr="002B7F23" w:rsidRDefault="00F45533">
      <w:pPr>
        <w:rPr>
          <w:sz w:val="18"/>
          <w:szCs w:val="18"/>
        </w:rPr>
      </w:pPr>
    </w:p>
    <w:sectPr w:rsidR="00F45533" w:rsidRPr="002B7F23" w:rsidSect="000410F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F2E" w:rsidRDefault="00350F2E" w:rsidP="0034202B">
      <w:r>
        <w:separator/>
      </w:r>
    </w:p>
  </w:endnote>
  <w:endnote w:type="continuationSeparator" w:id="0">
    <w:p w:rsidR="00350F2E" w:rsidRDefault="00350F2E" w:rsidP="003420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F2E" w:rsidRDefault="00350F2E" w:rsidP="0034202B">
      <w:r>
        <w:separator/>
      </w:r>
    </w:p>
  </w:footnote>
  <w:footnote w:type="continuationSeparator" w:id="0">
    <w:p w:rsidR="00350F2E" w:rsidRDefault="00350F2E" w:rsidP="003420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1DF5"/>
    <w:rsid w:val="000410FF"/>
    <w:rsid w:val="000B30A7"/>
    <w:rsid w:val="000D770E"/>
    <w:rsid w:val="000E691E"/>
    <w:rsid w:val="000E747B"/>
    <w:rsid w:val="00112EC4"/>
    <w:rsid w:val="001473D5"/>
    <w:rsid w:val="00171AF9"/>
    <w:rsid w:val="00197F4D"/>
    <w:rsid w:val="001D5533"/>
    <w:rsid w:val="001E4838"/>
    <w:rsid w:val="002230F6"/>
    <w:rsid w:val="00257E1D"/>
    <w:rsid w:val="002B7F23"/>
    <w:rsid w:val="002C0320"/>
    <w:rsid w:val="002E0033"/>
    <w:rsid w:val="002F6FEC"/>
    <w:rsid w:val="0032073D"/>
    <w:rsid w:val="003251BC"/>
    <w:rsid w:val="003331C8"/>
    <w:rsid w:val="0034202B"/>
    <w:rsid w:val="00350F2E"/>
    <w:rsid w:val="00395BEC"/>
    <w:rsid w:val="003C7C34"/>
    <w:rsid w:val="00476B21"/>
    <w:rsid w:val="004E56E7"/>
    <w:rsid w:val="005024D2"/>
    <w:rsid w:val="0051025C"/>
    <w:rsid w:val="00563FCC"/>
    <w:rsid w:val="005657EA"/>
    <w:rsid w:val="00584427"/>
    <w:rsid w:val="0059476F"/>
    <w:rsid w:val="005A056D"/>
    <w:rsid w:val="005B53C3"/>
    <w:rsid w:val="005F075A"/>
    <w:rsid w:val="006071D7"/>
    <w:rsid w:val="006465C7"/>
    <w:rsid w:val="006465E5"/>
    <w:rsid w:val="00655729"/>
    <w:rsid w:val="00666F82"/>
    <w:rsid w:val="0068778F"/>
    <w:rsid w:val="00691EDB"/>
    <w:rsid w:val="006925E2"/>
    <w:rsid w:val="006965E6"/>
    <w:rsid w:val="00696B34"/>
    <w:rsid w:val="006E2DB3"/>
    <w:rsid w:val="00706083"/>
    <w:rsid w:val="00741AFB"/>
    <w:rsid w:val="00747B9B"/>
    <w:rsid w:val="00767B54"/>
    <w:rsid w:val="00775EB8"/>
    <w:rsid w:val="007B17E8"/>
    <w:rsid w:val="007D4E52"/>
    <w:rsid w:val="007E5F8B"/>
    <w:rsid w:val="00812BC2"/>
    <w:rsid w:val="00813B2A"/>
    <w:rsid w:val="00814D63"/>
    <w:rsid w:val="00815643"/>
    <w:rsid w:val="008172D2"/>
    <w:rsid w:val="00832E03"/>
    <w:rsid w:val="00852268"/>
    <w:rsid w:val="0085313B"/>
    <w:rsid w:val="00853C19"/>
    <w:rsid w:val="0086427B"/>
    <w:rsid w:val="00874DD8"/>
    <w:rsid w:val="008857F9"/>
    <w:rsid w:val="008B0C73"/>
    <w:rsid w:val="008E5822"/>
    <w:rsid w:val="009509B6"/>
    <w:rsid w:val="009743D2"/>
    <w:rsid w:val="00993705"/>
    <w:rsid w:val="009A4D4F"/>
    <w:rsid w:val="00A01163"/>
    <w:rsid w:val="00A21DF5"/>
    <w:rsid w:val="00A26EE8"/>
    <w:rsid w:val="00A360C3"/>
    <w:rsid w:val="00A538F2"/>
    <w:rsid w:val="00A6758E"/>
    <w:rsid w:val="00A80321"/>
    <w:rsid w:val="00A85C8D"/>
    <w:rsid w:val="00A94BFA"/>
    <w:rsid w:val="00AC51F4"/>
    <w:rsid w:val="00B76E02"/>
    <w:rsid w:val="00B94C1D"/>
    <w:rsid w:val="00BE124D"/>
    <w:rsid w:val="00BF254B"/>
    <w:rsid w:val="00C116D5"/>
    <w:rsid w:val="00C13E77"/>
    <w:rsid w:val="00C21EFD"/>
    <w:rsid w:val="00C25A6C"/>
    <w:rsid w:val="00C26EE3"/>
    <w:rsid w:val="00C76FA9"/>
    <w:rsid w:val="00CA17C4"/>
    <w:rsid w:val="00CC1102"/>
    <w:rsid w:val="00CD5196"/>
    <w:rsid w:val="00CE10EA"/>
    <w:rsid w:val="00D153D2"/>
    <w:rsid w:val="00D56B32"/>
    <w:rsid w:val="00D61817"/>
    <w:rsid w:val="00DA7892"/>
    <w:rsid w:val="00DC2A23"/>
    <w:rsid w:val="00E128E6"/>
    <w:rsid w:val="00E23A31"/>
    <w:rsid w:val="00E27892"/>
    <w:rsid w:val="00E3164A"/>
    <w:rsid w:val="00E479E7"/>
    <w:rsid w:val="00E635E5"/>
    <w:rsid w:val="00E77E98"/>
    <w:rsid w:val="00EC3BA7"/>
    <w:rsid w:val="00EC6966"/>
    <w:rsid w:val="00F228E5"/>
    <w:rsid w:val="00F413E1"/>
    <w:rsid w:val="00F45533"/>
    <w:rsid w:val="00FB2010"/>
    <w:rsid w:val="00FC0763"/>
    <w:rsid w:val="09974C38"/>
    <w:rsid w:val="10685834"/>
    <w:rsid w:val="368048DC"/>
    <w:rsid w:val="3E2F34CB"/>
    <w:rsid w:val="4003708A"/>
    <w:rsid w:val="5D9E52E0"/>
    <w:rsid w:val="62461E13"/>
    <w:rsid w:val="6E870439"/>
    <w:rsid w:val="7C866D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0FF"/>
    <w:pPr>
      <w:widowControl w:val="0"/>
      <w:jc w:val="both"/>
    </w:pPr>
    <w:rPr>
      <w:kern w:val="2"/>
      <w:sz w:val="21"/>
      <w:szCs w:val="22"/>
    </w:rPr>
  </w:style>
  <w:style w:type="paragraph" w:styleId="1">
    <w:name w:val="heading 1"/>
    <w:basedOn w:val="a"/>
    <w:link w:val="1Char"/>
    <w:uiPriority w:val="9"/>
    <w:qFormat/>
    <w:rsid w:val="003C7C3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410FF"/>
    <w:rPr>
      <w:sz w:val="18"/>
      <w:szCs w:val="18"/>
    </w:rPr>
  </w:style>
  <w:style w:type="paragraph" w:styleId="a4">
    <w:name w:val="footer"/>
    <w:basedOn w:val="a"/>
    <w:link w:val="Char0"/>
    <w:uiPriority w:val="99"/>
    <w:unhideWhenUsed/>
    <w:qFormat/>
    <w:rsid w:val="000410FF"/>
    <w:pPr>
      <w:tabs>
        <w:tab w:val="center" w:pos="4153"/>
        <w:tab w:val="right" w:pos="8306"/>
      </w:tabs>
      <w:snapToGrid w:val="0"/>
      <w:jc w:val="left"/>
    </w:pPr>
    <w:rPr>
      <w:sz w:val="18"/>
      <w:szCs w:val="18"/>
    </w:rPr>
  </w:style>
  <w:style w:type="paragraph" w:styleId="a5">
    <w:name w:val="header"/>
    <w:basedOn w:val="a"/>
    <w:link w:val="Char1"/>
    <w:uiPriority w:val="99"/>
    <w:unhideWhenUsed/>
    <w:rsid w:val="000410FF"/>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semiHidden/>
    <w:rsid w:val="000410FF"/>
    <w:rPr>
      <w:kern w:val="2"/>
      <w:sz w:val="18"/>
      <w:szCs w:val="18"/>
    </w:rPr>
  </w:style>
  <w:style w:type="character" w:customStyle="1" w:styleId="Char1">
    <w:name w:val="页眉 Char"/>
    <w:basedOn w:val="a0"/>
    <w:link w:val="a5"/>
    <w:uiPriority w:val="99"/>
    <w:semiHidden/>
    <w:rsid w:val="000410FF"/>
    <w:rPr>
      <w:kern w:val="2"/>
      <w:sz w:val="18"/>
      <w:szCs w:val="18"/>
    </w:rPr>
  </w:style>
  <w:style w:type="character" w:customStyle="1" w:styleId="Char">
    <w:name w:val="批注框文本 Char"/>
    <w:basedOn w:val="a0"/>
    <w:link w:val="a3"/>
    <w:uiPriority w:val="99"/>
    <w:semiHidden/>
    <w:rsid w:val="000410FF"/>
    <w:rPr>
      <w:kern w:val="2"/>
      <w:sz w:val="18"/>
      <w:szCs w:val="18"/>
    </w:rPr>
  </w:style>
  <w:style w:type="character" w:customStyle="1" w:styleId="1Char">
    <w:name w:val="标题 1 Char"/>
    <w:basedOn w:val="a0"/>
    <w:link w:val="1"/>
    <w:uiPriority w:val="9"/>
    <w:rsid w:val="003C7C34"/>
    <w:rPr>
      <w:rFonts w:ascii="宋体" w:hAnsi="宋体" w:cs="宋体"/>
      <w:b/>
      <w:bCs/>
      <w:kern w:val="36"/>
      <w:sz w:val="48"/>
      <w:szCs w:val="48"/>
    </w:rPr>
  </w:style>
  <w:style w:type="paragraph" w:customStyle="1" w:styleId="artimetas">
    <w:name w:val="arti_metas"/>
    <w:basedOn w:val="a"/>
    <w:rsid w:val="003C7C34"/>
    <w:pPr>
      <w:widowControl/>
      <w:spacing w:before="100" w:beforeAutospacing="1" w:after="100" w:afterAutospacing="1"/>
      <w:jc w:val="left"/>
    </w:pPr>
    <w:rPr>
      <w:rFonts w:ascii="宋体" w:hAnsi="宋体" w:cs="宋体"/>
      <w:kern w:val="0"/>
      <w:sz w:val="24"/>
      <w:szCs w:val="24"/>
    </w:rPr>
  </w:style>
  <w:style w:type="character" w:customStyle="1" w:styleId="artipublisher">
    <w:name w:val="arti_publisher"/>
    <w:basedOn w:val="a0"/>
    <w:rsid w:val="003C7C34"/>
  </w:style>
  <w:style w:type="character" w:customStyle="1" w:styleId="artiupdate">
    <w:name w:val="arti_update"/>
    <w:basedOn w:val="a0"/>
    <w:rsid w:val="003C7C34"/>
  </w:style>
  <w:style w:type="character" w:customStyle="1" w:styleId="artiviews">
    <w:name w:val="arti_views"/>
    <w:basedOn w:val="a0"/>
    <w:rsid w:val="003C7C34"/>
  </w:style>
  <w:style w:type="character" w:customStyle="1" w:styleId="wpvisitcount">
    <w:name w:val="wp_visitcount"/>
    <w:basedOn w:val="a0"/>
    <w:rsid w:val="003C7C34"/>
  </w:style>
  <w:style w:type="paragraph" w:styleId="a6">
    <w:name w:val="Normal (Web)"/>
    <w:basedOn w:val="a"/>
    <w:uiPriority w:val="99"/>
    <w:semiHidden/>
    <w:unhideWhenUsed/>
    <w:rsid w:val="003C7C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3C7C34"/>
    <w:rPr>
      <w:b/>
      <w:bCs/>
    </w:rPr>
  </w:style>
  <w:style w:type="character" w:styleId="a8">
    <w:name w:val="Hyperlink"/>
    <w:basedOn w:val="a0"/>
    <w:uiPriority w:val="99"/>
    <w:semiHidden/>
    <w:unhideWhenUsed/>
    <w:rsid w:val="003C7C34"/>
    <w:rPr>
      <w:color w:val="0000FF"/>
      <w:u w:val="single"/>
    </w:rPr>
  </w:style>
  <w:style w:type="character" w:styleId="a9">
    <w:name w:val="Emphasis"/>
    <w:basedOn w:val="a0"/>
    <w:uiPriority w:val="20"/>
    <w:qFormat/>
    <w:rsid w:val="002B7F23"/>
    <w:rPr>
      <w:i/>
      <w:iCs/>
    </w:rPr>
  </w:style>
</w:styles>
</file>

<file path=word/webSettings.xml><?xml version="1.0" encoding="utf-8"?>
<w:webSettings xmlns:r="http://schemas.openxmlformats.org/officeDocument/2006/relationships" xmlns:w="http://schemas.openxmlformats.org/wordprocessingml/2006/main">
  <w:divs>
    <w:div w:id="716659660">
      <w:bodyDiv w:val="1"/>
      <w:marLeft w:val="0"/>
      <w:marRight w:val="0"/>
      <w:marTop w:val="0"/>
      <w:marBottom w:val="0"/>
      <w:divBdr>
        <w:top w:val="none" w:sz="0" w:space="0" w:color="auto"/>
        <w:left w:val="none" w:sz="0" w:space="0" w:color="auto"/>
        <w:bottom w:val="none" w:sz="0" w:space="0" w:color="auto"/>
        <w:right w:val="none" w:sz="0" w:space="0" w:color="auto"/>
      </w:divBdr>
      <w:divsChild>
        <w:div w:id="873035705">
          <w:marLeft w:val="0"/>
          <w:marRight w:val="0"/>
          <w:marTop w:val="0"/>
          <w:marBottom w:val="0"/>
          <w:divBdr>
            <w:top w:val="none" w:sz="0" w:space="0" w:color="auto"/>
            <w:left w:val="none" w:sz="0" w:space="0" w:color="auto"/>
            <w:bottom w:val="none" w:sz="0" w:space="0" w:color="auto"/>
            <w:right w:val="none" w:sz="0" w:space="0" w:color="auto"/>
          </w:divBdr>
          <w:divsChild>
            <w:div w:id="1184057794">
              <w:marLeft w:val="0"/>
              <w:marRight w:val="0"/>
              <w:marTop w:val="0"/>
              <w:marBottom w:val="0"/>
              <w:divBdr>
                <w:top w:val="none" w:sz="0" w:space="0" w:color="auto"/>
                <w:left w:val="none" w:sz="0" w:space="0" w:color="auto"/>
                <w:bottom w:val="none" w:sz="0" w:space="0" w:color="auto"/>
                <w:right w:val="none" w:sz="0" w:space="0" w:color="auto"/>
              </w:divBdr>
              <w:divsChild>
                <w:div w:id="1736971007">
                  <w:marLeft w:val="0"/>
                  <w:marRight w:val="0"/>
                  <w:marTop w:val="0"/>
                  <w:marBottom w:val="300"/>
                  <w:divBdr>
                    <w:top w:val="none" w:sz="0" w:space="0" w:color="auto"/>
                    <w:left w:val="none" w:sz="0" w:space="0" w:color="auto"/>
                    <w:bottom w:val="none" w:sz="0" w:space="0" w:color="auto"/>
                    <w:right w:val="none" w:sz="0" w:space="0" w:color="auto"/>
                  </w:divBdr>
                  <w:divsChild>
                    <w:div w:id="1785273606">
                      <w:marLeft w:val="0"/>
                      <w:marRight w:val="0"/>
                      <w:marTop w:val="0"/>
                      <w:marBottom w:val="0"/>
                      <w:divBdr>
                        <w:top w:val="none" w:sz="0" w:space="0" w:color="auto"/>
                        <w:left w:val="none" w:sz="0" w:space="0" w:color="auto"/>
                        <w:bottom w:val="none" w:sz="0" w:space="0" w:color="auto"/>
                        <w:right w:val="none" w:sz="0" w:space="0" w:color="auto"/>
                      </w:divBdr>
                    </w:div>
                    <w:div w:id="2468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013093">
      <w:bodyDiv w:val="1"/>
      <w:marLeft w:val="0"/>
      <w:marRight w:val="0"/>
      <w:marTop w:val="0"/>
      <w:marBottom w:val="0"/>
      <w:divBdr>
        <w:top w:val="none" w:sz="0" w:space="0" w:color="auto"/>
        <w:left w:val="none" w:sz="0" w:space="0" w:color="auto"/>
        <w:bottom w:val="none" w:sz="0" w:space="0" w:color="auto"/>
        <w:right w:val="none" w:sz="0" w:space="0" w:color="auto"/>
      </w:divBdr>
      <w:divsChild>
        <w:div w:id="797575051">
          <w:marLeft w:val="0"/>
          <w:marRight w:val="0"/>
          <w:marTop w:val="100"/>
          <w:marBottom w:val="0"/>
          <w:divBdr>
            <w:top w:val="none" w:sz="0" w:space="0" w:color="auto"/>
            <w:left w:val="none" w:sz="0" w:space="0" w:color="auto"/>
            <w:bottom w:val="none" w:sz="0" w:space="0" w:color="auto"/>
            <w:right w:val="none" w:sz="0" w:space="0" w:color="auto"/>
          </w:divBdr>
          <w:divsChild>
            <w:div w:id="1992632784">
              <w:marLeft w:val="0"/>
              <w:marRight w:val="0"/>
              <w:marTop w:val="0"/>
              <w:marBottom w:val="0"/>
              <w:divBdr>
                <w:top w:val="none" w:sz="0" w:space="0" w:color="auto"/>
                <w:left w:val="none" w:sz="0" w:space="0" w:color="auto"/>
                <w:bottom w:val="none" w:sz="0" w:space="0" w:color="auto"/>
                <w:right w:val="none" w:sz="0" w:space="0" w:color="auto"/>
              </w:divBdr>
              <w:divsChild>
                <w:div w:id="10990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253</Words>
  <Characters>1448</Characters>
  <Application>Microsoft Office Word</Application>
  <DocSecurity>0</DocSecurity>
  <Lines>12</Lines>
  <Paragraphs>3</Paragraphs>
  <ScaleCrop>false</ScaleCrop>
  <Company>Hewlett-Packard Company</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undefined</dc:creator>
  <cp:lastModifiedBy>HP</cp:lastModifiedBy>
  <cp:revision>9</cp:revision>
  <cp:lastPrinted>2020-09-21T06:47:00Z</cp:lastPrinted>
  <dcterms:created xsi:type="dcterms:W3CDTF">2019-10-23T00:48:00Z</dcterms:created>
  <dcterms:modified xsi:type="dcterms:W3CDTF">2021-03-01T07:30:00Z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